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Постановление Правительства Челябинской области </w:t>
      </w:r>
    </w:p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от 29 июня 2021 г. N 262-П</w:t>
      </w:r>
    </w:p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"О Порядке учета граждан, указанных в статье 1 </w:t>
      </w:r>
    </w:p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Закона Челябинской области от 03.03.2021 г. N 318-ЗО </w:t>
      </w:r>
    </w:p>
    <w:p w:rsid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</w:t>
      </w:r>
    </w:p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и предоставления указанной выплаты"</w:t>
      </w:r>
    </w:p>
    <w:p w:rsidR="00BA3871" w:rsidRPr="00BA3871" w:rsidRDefault="00BA3871" w:rsidP="00BA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A3871" w:rsidRPr="00BA3871" w:rsidRDefault="00BA3871" w:rsidP="00BA3871">
      <w:pPr>
        <w:pBdr>
          <w:bottom w:val="dashed" w:sz="4" w:space="0" w:color="auto"/>
        </w:pBd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изменениями и дополнениями </w:t>
      </w:r>
      <w:proofErr w:type="gramStart"/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proofErr w:type="gramEnd"/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A3871" w:rsidRPr="00DE6C43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10 июня 2022 г.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В соответствии с законами Челябинской области </w:t>
      </w:r>
      <w:hyperlink r:id="rId4" w:anchor="/document/400393533/entry/1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"О дополнительных мерах социальной поддержки отдельных категорий граждан в связи с установкой внутридомового газового оборудования"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5" w:anchor="/document/8851237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"О наделении органов местного самоуправления государственными полномочиями по социальной поддержке отдельных категорий граждан"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Правительство Челябинской области постановляет: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Утвердить прилагаемый </w:t>
      </w:r>
      <w:hyperlink r:id="rId6" w:anchor="/document/401408274/entry/100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учета граждан, указанных в статье 1 Закона Челябинской области от 03.03.2021 г. N 318-ЗО 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указанной выплаты.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 </w:t>
      </w:r>
      <w:hyperlink r:id="rId7" w:anchor="/document/401408275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1 июля 2021 года.</w:t>
      </w: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Pr="00BA3871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  <w:gridCol w:w="3318"/>
      </w:tblGrid>
      <w:tr w:rsidR="00BA3871" w:rsidRPr="00BA3871" w:rsidTr="00BA3871">
        <w:tc>
          <w:tcPr>
            <w:tcW w:w="3300" w:type="pct"/>
            <w:shd w:val="clear" w:color="auto" w:fill="FFFFFF"/>
            <w:vAlign w:val="bottom"/>
            <w:hideMark/>
          </w:tcPr>
          <w:p w:rsidR="00BA3871" w:rsidRPr="00BA3871" w:rsidRDefault="00BA3871" w:rsidP="00BA38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BA38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Челябинской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A3871" w:rsidRPr="00BA3871" w:rsidRDefault="00BA3871" w:rsidP="00BA38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BA387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Текслер</w:t>
            </w:r>
            <w:proofErr w:type="spellEnd"/>
          </w:p>
        </w:tc>
      </w:tr>
    </w:tbl>
    <w:p w:rsid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Pr="00BA3871" w:rsidRDefault="00C963D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3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  <w:r w:rsidRPr="00BA38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8" w:anchor="/document/401408274/entry/0" w:history="1">
        <w:r w:rsidRPr="00C963D9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963D9">
        <w:rPr>
          <w:rFonts w:ascii="Times New Roman" w:eastAsia="Times New Roman" w:hAnsi="Times New Roman" w:cs="Times New Roman"/>
          <w:bCs/>
          <w:sz w:val="28"/>
          <w:szCs w:val="28"/>
        </w:rPr>
        <w:t> Правительства</w:t>
      </w:r>
      <w:r w:rsidRPr="00BA38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63D9">
        <w:rPr>
          <w:rFonts w:ascii="Times New Roman" w:eastAsia="Times New Roman" w:hAnsi="Times New Roman" w:cs="Times New Roman"/>
          <w:bCs/>
          <w:sz w:val="28"/>
          <w:szCs w:val="28"/>
        </w:rPr>
        <w:t>Челябинской области</w:t>
      </w:r>
      <w:r w:rsidRPr="00BA38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63D9">
        <w:rPr>
          <w:rFonts w:ascii="Times New Roman" w:eastAsia="Times New Roman" w:hAnsi="Times New Roman" w:cs="Times New Roman"/>
          <w:bCs/>
          <w:sz w:val="28"/>
          <w:szCs w:val="28"/>
        </w:rPr>
        <w:t>от 29 июня 2021 г. N 262-П</w:t>
      </w:r>
    </w:p>
    <w:p w:rsidR="00C963D9" w:rsidRDefault="00C963D9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3D9" w:rsidRDefault="00BA3871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BA387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учета граждан, указанных в статье 1 Закона Челябинской области </w:t>
      </w:r>
    </w:p>
    <w:p w:rsidR="00C963D9" w:rsidRDefault="00BA3871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sz w:val="28"/>
          <w:szCs w:val="28"/>
        </w:rPr>
        <w:t xml:space="preserve">от 03.03.2021 г. N 318-ЗО </w:t>
      </w:r>
    </w:p>
    <w:p w:rsidR="00C963D9" w:rsidRDefault="00BA3871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sz w:val="28"/>
          <w:szCs w:val="28"/>
        </w:rPr>
        <w:t xml:space="preserve">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</w:t>
      </w:r>
    </w:p>
    <w:p w:rsidR="00BA3871" w:rsidRDefault="00BA3871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sz w:val="28"/>
          <w:szCs w:val="28"/>
        </w:rPr>
        <w:t>и оплату работ по его установке и предоставления указанной выплаты</w:t>
      </w:r>
    </w:p>
    <w:p w:rsidR="00C963D9" w:rsidRPr="00BA3871" w:rsidRDefault="00C963D9" w:rsidP="00BA38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3D9" w:rsidRPr="00BA3871" w:rsidRDefault="00C963D9" w:rsidP="00C963D9">
      <w:pPr>
        <w:pBdr>
          <w:bottom w:val="dashed" w:sz="4" w:space="0" w:color="auto"/>
        </w:pBd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изменениями и дополнениями </w:t>
      </w:r>
      <w:proofErr w:type="gramStart"/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proofErr w:type="gramEnd"/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963D9" w:rsidRPr="00DE6C43" w:rsidRDefault="00C963D9" w:rsidP="00C963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b/>
          <w:i/>
          <w:sz w:val="28"/>
          <w:szCs w:val="28"/>
        </w:rPr>
        <w:t>10 июня 2022 г.</w:t>
      </w:r>
    </w:p>
    <w:p w:rsidR="00C963D9" w:rsidRDefault="00C963D9" w:rsidP="00BA3871">
      <w:pPr>
        <w:pBdr>
          <w:bottom w:val="dashed" w:sz="4" w:space="0" w:color="auto"/>
        </w:pBd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63D9" w:rsidRPr="00BA3871" w:rsidRDefault="00C963D9" w:rsidP="00BA3871">
      <w:pPr>
        <w:pBdr>
          <w:bottom w:val="dashed" w:sz="4" w:space="0" w:color="auto"/>
        </w:pBd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Настоящий Порядок учета граждан, указанных в статье 1 Закона Челябинской области от 03.03.2021 г. N 318-ЗО 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указанной выплаты (далее именуется - Порядок) разработан в соответствии с </w:t>
      </w:r>
      <w:hyperlink r:id="rId9" w:anchor="/document/400393533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Челябинской области от 03.03.2021 г. N 318-ЗО "О дополнительных мерах социальной поддержки отдельных категорий граждан в связи с установкой внутридомового газового оборудования" (далее именуется - Закон Челябинской области N 318-ЗО) в целях предоставления за счет средств областного бюджета отдельным категориям граждан дополнительных мер социальной поддержки в виде единовременной социальной выплаты на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оплату приобретения внутридомового газового оборудования (возмещение расходов на приобретение такого оборудования) и оплату работ по его установке (далее именуется - единовременная социальная выплата).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Пункт 2 изменен с 15 июня 2022 г. - </w:t>
      </w:r>
      <w:hyperlink r:id="rId10" w:anchor="/document/404824391/entry/2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Челябинской области от 10 июня 2022 г. N 336-П</w:t>
      </w:r>
    </w:p>
    <w:p w:rsidR="00BA3871" w:rsidRPr="00BA3871" w:rsidRDefault="000F2EA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/document/401452728/entry/1003" w:history="1">
        <w:r w:rsidR="00BA3871" w:rsidRPr="00BA3871">
          <w:rPr>
            <w:rFonts w:ascii="Times New Roman" w:eastAsia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2. Дополнительные меры социальной поддержки в виде единовременной социальной выплаты предоставляются гражданам, постоянно проживающим на территории Челябинской области в жилых помещениях, не оснащенных внутридомовым газовым оборудованием (далее именуются - жилые помещения), относящимся к следующим категориям: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1) 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2) семьи, признанные многодетными в соответствии с </w:t>
      </w:r>
      <w:hyperlink r:id="rId12" w:anchor="/document/8771924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 Челябинской области от 31.03.2010 г. N 548-ЗО "О статусе и дополнительных мерах </w:t>
      </w:r>
      <w:r w:rsidRPr="00BA3871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поддержки многодетной семьи в Челябинской области", со среднедушевым доходом, размер которого не превышает двукратную величину </w:t>
      </w:r>
      <w:hyperlink r:id="rId13" w:anchor="/document/8739596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  <w:proofErr w:type="gramEnd"/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3) семьи, имеющие детей-инвалидов, со среднедушевым доходом, размер которого не превышает двукратную величину </w:t>
      </w:r>
      <w:hyperlink r:id="rId14" w:anchor="/document/8739596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4) инвалиды I и II групп, среднедушевой доход семей которых не превышает двукратную величину </w:t>
      </w:r>
      <w:hyperlink r:id="rId15" w:anchor="/document/8739596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являющиеся собственниками жилых помещений;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граждан, указанных в </w:t>
      </w:r>
      <w:hyperlink r:id="rId16" w:anchor="/document/401408274/entry/1004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7" w:anchor="/document/401408274/entry/204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8" w:anchor="/document/401408274/entry/20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пункта, членов (одного из членов) семей, указанных в </w:t>
      </w:r>
      <w:hyperlink r:id="rId19" w:anchor="/document/401408274/entry/100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0" w:anchor="/document/401408274/entry/1006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пункта.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Пункт 3 изменен с 15 июня 2022 г. - </w:t>
      </w:r>
      <w:hyperlink r:id="rId21" w:anchor="/document/404824391/entry/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Челябинской области от 10 июня 2022 г. N 336-П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Изменения </w:t>
      </w:r>
      <w:hyperlink r:id="rId22" w:anchor="/document/404824391/entry/8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распространяются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 правоотношения, возникшие с 1 мая 2022 г.</w:t>
      </w:r>
    </w:p>
    <w:p w:rsidR="00BA3871" w:rsidRPr="00BA3871" w:rsidRDefault="000F2EA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anchor="/document/401452727/entry/1007" w:history="1">
        <w:r w:rsidR="00BA3871" w:rsidRPr="00BA3871">
          <w:rPr>
            <w:rFonts w:ascii="Times New Roman" w:eastAsia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3. В соответствии с </w:t>
      </w:r>
      <w:hyperlink r:id="rId24" w:anchor="/document/400393533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Челябинской области N 318-ЗО единовременная социальная выплата предоставляется в размере фактической стоимости внутридомового газового оборудования и работ по его установке, но не более 100 тысяч рублей.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Назначение единовременной социальной выплаты, включая прием от граждан, указанных в </w:t>
      </w:r>
      <w:hyperlink r:id="rId25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заявлений и документов, необходимых для постановки указанных граждан на учет в целях предоставления единовременной социальной выплаты (далее именуется - учет), ведение такого учета, принятие решений о наличии (отсутствии) права на единовременную социальную выплату, выдачу уведомлений о наличии права на получение единовременной социальной выплаты и формирование электронных реестров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 денежных средств на счета физических лиц в кредитных организациях осуществляют органы местного самоуправления городских округов и муниципальных районов Челябинской области (далее именуются - уполномоченные органы).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5. Постановка на учет граждан, указанных в </w:t>
      </w:r>
      <w:hyperlink r:id="rId26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осуществляется уполномоченными органами по месту жительства на основании следующих документов: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1) заявление по форме, установленной Министерством социальных отношений Челябинской области (далее именуется - Министерство социальных отношений);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2) паспорт или иной документ, удостоверяющий личность заявителя (с приложением его копии);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lastRenderedPageBreak/>
        <w:t>3) выписка из Единого государственного реестра недвижимости, подтверждающая право собственности лиц, указанных в </w:t>
      </w:r>
      <w:hyperlink r:id="rId27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на жилое помещение;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4) справки о регистрации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5) технические условия на подключение (технологическое присоединение) объектов капитального строительства к сетям газораспределения, выданные газораспределительной организацией;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6) документы, удостоверяющие личность и полномочия представителя гражданина (в случае подачи заявления от имени гражданина его представителем);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Подпункт 7 изменен с 15 июня 2022 г. - </w:t>
      </w:r>
      <w:hyperlink r:id="rId28" w:anchor="/document/404824391/entry/4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Челябинской области от 10 июня 2022 г. N 336-П</w:t>
      </w:r>
    </w:p>
    <w:p w:rsidR="00BA3871" w:rsidRPr="00BA3871" w:rsidRDefault="000F2EA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/document/401452728/entry/1016" w:history="1">
        <w:r w:rsidR="00BA3871" w:rsidRPr="00BA3871">
          <w:rPr>
            <w:rFonts w:ascii="Times New Roman" w:eastAsia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7) документы, подтверждающие отнесение заявителя к категориям, указанным в </w:t>
      </w:r>
      <w:hyperlink r:id="rId30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пенсионное удостоверение либо справка о получении пенсии, выданная органом, осуществляющим назначение и выплату пенсии (для заявителей, указанных в </w:t>
      </w:r>
      <w:hyperlink r:id="rId31" w:anchor="/document/401408274/entry/1004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2" w:anchor="/document/401408274/entry/20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5 пункта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удостоверение многодетной семьи (для лиц, указанных в </w:t>
      </w:r>
      <w:hyperlink r:id="rId33" w:anchor="/document/401408274/entry/100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сведения об инвалидности, содержащиеся в федеральной государственной информационной системе "Федеральный реестр инвалидов", а в случае отсутствия соответствующих сведений в федеральной государственной информационной системе "Федеральный реестр инвалидов" - справка об установлении инвалидности, выдаваемая федеральным государственным учреждением медико-социальной экспертизы (для лиц, указанных в </w:t>
      </w:r>
      <w:hyperlink r:id="rId34" w:anchor="/document/401408274/entry/1006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подпунктах 3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5" w:anchor="/document/401408274/entry/204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4 пункта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По-видимому, в тексте предыдущего абзаца допущена опечатка. Имеется в виду "подпункте 3 пункта 2"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сведения о доходах всех членов семьи за шесть месяцев, предшествующих четырем календарным месяцам перед месяцем обращения для постановки на учет в целях предоставления единовременной социальной выплаты, определенных </w:t>
      </w:r>
      <w:hyperlink r:id="rId36" w:anchor="/document/186248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20 августа 2003 г. N 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(для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граждан, указанных в </w:t>
      </w:r>
      <w:hyperlink r:id="rId37" w:anchor="/document/401408274/entry/100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подпунктах 2 - 4 пункта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Порядка).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Среднедушевой доход семьи для постановки на учет в целях предоставления единовременной социальной выплаты рассчитывается исходя из суммы доходов всех членов семьи за последние шесть календарных месяцев (в том числе в случае представления документов (сведений) о доходах семьи за период менее шести календарных месяцев), предшествующих четырем календарным месяцам перед месяцем обращения для постановки на учет, путем деления одной шестой суммы доходов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всех членов семьи за расчетный период на число членов семьи.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Заявление может быть подано гражданином лично, через его законного представителя или в форме электронного документа в </w:t>
      </w:r>
      <w:hyperlink r:id="rId38" w:anchor="/document/12187691/entry/1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3871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 </w:t>
      </w:r>
      <w:hyperlink r:id="rId39" w:anchor="/document/12187691/entry/0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При поступлении заявления в форме электронного документа заявителю в течение 3 рабочих дней направляется электронное сообщение о поступлении заявления с указанием документов, которые необходимо представить.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Уполномоченные органы запрашивают в рамках межведомственного информационного взаимодействия документы и сведения, указанные в </w:t>
      </w:r>
      <w:hyperlink r:id="rId40" w:anchor="/document/401408274/entry/1009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5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государственных или муниципальных услуг, за исключением документов, указанных в </w:t>
      </w:r>
      <w:hyperlink r:id="rId41" w:anchor="/document/12177515/entry/706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 июля 2010 года N 210-ФЗ "Об организации предоставления государственных и муниципальных услуг".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7. Уполномоченные органы в течение 30 рабочих дней со дня поступления заявления и документов граждан, указанных в </w:t>
      </w:r>
      <w:hyperlink r:id="rId42" w:anchor="/document/401408274/entry/1009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5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1) рассматривают указанные заявление и документы;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2) проводят обследование жилого помещения, по результатам которого составляется акт обследования жилого помещения;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3) принимают решение о наличии (отсутствии) права на получение единовременной социальной выплаты;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4) в случае принятия решения о наличии права на получение единовременной социальной выплаты, ставят гражданина на учет.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8. В случае принятия уполномоченным органом решения о наличии права на получение единовременной социальной выплаты уполномоченный орган в течение 10 рабочих дней со дня принятия указанного решения направляет гражданину уведомление о наличии права на единовременную социальную выплату (далее именуется - уведомление) по форме, утвержденной Министерством социальных отношений.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9. Уполномоченный орган принимает решение об отсутствии права на получение единовременной социальной выплаты в следующих случаях: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1) непредставления (неполного представления) документов, указанных в </w:t>
      </w:r>
      <w:hyperlink r:id="rId43" w:anchor="/document/401408274/entry/1009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5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и (или) нарушения срока их представления;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документов, содержащих сведения, не соответствующие действительности, либо наличия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3) несоответствия гражданина, претендующего на получение единовременной социальной выплаты, требованиям, установленным </w:t>
      </w:r>
      <w:hyperlink r:id="rId44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4) отсутствия технических условий, выданных газораспределительной организацией;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 5 изменен с 15 июня 2022 г. - </w:t>
      </w:r>
      <w:hyperlink r:id="rId45" w:anchor="/document/404824391/entry/5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Челябинской области от 10 июня 2022 г. N 336-П</w:t>
      </w:r>
    </w:p>
    <w:p w:rsidR="00BA3871" w:rsidRPr="00BA3871" w:rsidRDefault="000F2EA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6" w:anchor="/document/401452728/entry/1029" w:history="1">
        <w:r w:rsidR="00BA3871" w:rsidRPr="00BA3871">
          <w:rPr>
            <w:rFonts w:ascii="Times New Roman" w:eastAsia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5) заключения договора на поставку газа до момента подачи заявления о постановке на учет.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10. О принятии решения об отсутствии права на получение единовременной социальной выплаты уполномоченный орган информирует заявителя посредством направления уведомления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об отказе в постановке на учет с указанием причин отказа в течение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 со дня принятия указанного решения.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Отказ в постановке на учет не препятствует повторному обращению гражданина с заявлением о предоставлении единовременной социальной выплаты после устранения обстоятельств, послуживших основанием для принятия решения об отказе в предоставлении единовременной социальной выплаты.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Пункт 11 изменен с 15 июня 2022 г. - </w:t>
      </w:r>
      <w:hyperlink r:id="rId47" w:anchor="/document/404824391/entry/6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Правительства Челябинской области от 10 июня 2022 г. N 336-П</w:t>
      </w:r>
    </w:p>
    <w:p w:rsidR="00BA3871" w:rsidRPr="00BA3871" w:rsidRDefault="000F2EA9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8" w:anchor="/document/401452728/entry/1031" w:history="1">
        <w:r w:rsidR="00BA3871" w:rsidRPr="00BA3871">
          <w:rPr>
            <w:rFonts w:ascii="Times New Roman" w:eastAsia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11. Гражданин вправе самостоятельно приобрести внутридомовое газовое оборудование или заключить договор на приобретение внутридомового газового оборудования и (или) проведение работ по его установке с подрядной организацией, которая будет проводить указанные работы.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12. Единовременная социальная выплата предоставляется гражданину в безналичной форме путем перечисления денежных средств на счет, открытый им в кредитной организации.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Для получения единовременной социальной выплаты граждане в срок не позднее 15 декабря года, в котором получено уведомление, представляют в уполномоченный орган договор с подрядной организацией на приобретение внутридомового газового оборудования и проведение работ по его установке; договор с газораспределительной организацией на обслуживание сетей; договор на поставку газа.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В случае самостоятельного приобретения внутридомового газового оборудования граждане представляют платежные документы, подтверждающие его приобретение.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Уполномоченный орган ежемесячно формирует электронные реестры для зачисления денежных средств на счета физических лиц в кредитных организациях (далее именуются - электронные реестры).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Если в срок, установленный </w:t>
      </w:r>
      <w:hyperlink r:id="rId49" w:anchor="/document/401408274/entry/1039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абзацем вторым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пункта, гражданин, имеющий право на единовременную социальную выплату, не представил в уполномоченный орган документы, указанные в настоящем пункте, единовременная социальная выплата в текущем году ему не предоставляется.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13. Организацию выплаты единовременной социальной выплаты гражданам, указанным в </w:t>
      </w:r>
      <w:hyperlink r:id="rId50" w:anchor="/document/401408274/entry/1003" w:history="1">
        <w:r w:rsidRPr="00BA387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BA3871">
        <w:rPr>
          <w:rFonts w:ascii="Times New Roman" w:eastAsia="Times New Roman" w:hAnsi="Times New Roman" w:cs="Times New Roman"/>
          <w:sz w:val="28"/>
          <w:szCs w:val="28"/>
        </w:rPr>
        <w:t> настоящего Порядка, осуществляет Министерство социальных отношений Челябинской области.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14. Расходы на оплату услуг по перечислению единовременной социальной выплаты осуществляются за счет средств областного бюджета в пределах 1,5 процента от зачисленных сумм.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15. Министерство социальных отношений: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1) в соответствии с электронными реестрами, сформированными уполномоченными органами, ежемесячно в срок до 15 числа составляет заявку на перечисление единовременной социальной выплаты и оплату услуг по ее </w:t>
      </w:r>
      <w:r w:rsidRPr="00BA3871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перечислению (далее именуется - заявка) и передает ее в Министерство финансов Челябинской области;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2) осуществляет </w:t>
      </w:r>
      <w:proofErr w:type="gramStart"/>
      <w:r w:rsidRPr="00BA38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387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бюджетных средств.</w:t>
      </w:r>
    </w:p>
    <w:p w:rsidR="00BA3871" w:rsidRPr="00BA3871" w:rsidRDefault="00BA3871" w:rsidP="00BA38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sz w:val="28"/>
          <w:szCs w:val="28"/>
        </w:rPr>
        <w:t>16. Министерство финансов Челябинской области в течение 3 рабочих дней со дня поступления заявки осуществляет перечисление средств на счет, открытый гражданину в кредитной организации.</w:t>
      </w:r>
    </w:p>
    <w:p w:rsidR="005D401E" w:rsidRPr="00BA3871" w:rsidRDefault="005D401E" w:rsidP="00BA38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01E" w:rsidRPr="00BA3871" w:rsidSect="00DE6C43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A3871"/>
    <w:rsid w:val="000F2EA9"/>
    <w:rsid w:val="005D401E"/>
    <w:rsid w:val="00BA3871"/>
    <w:rsid w:val="00C963D9"/>
    <w:rsid w:val="00DE6C43"/>
    <w:rsid w:val="00F5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A9"/>
  </w:style>
  <w:style w:type="paragraph" w:styleId="4">
    <w:name w:val="heading 4"/>
    <w:basedOn w:val="a"/>
    <w:link w:val="40"/>
    <w:uiPriority w:val="9"/>
    <w:qFormat/>
    <w:rsid w:val="00BA3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3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A3871"/>
    <w:rPr>
      <w:i/>
      <w:iCs/>
    </w:rPr>
  </w:style>
  <w:style w:type="paragraph" w:customStyle="1" w:styleId="s52">
    <w:name w:val="s_52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3871"/>
    <w:rPr>
      <w:color w:val="0000FF"/>
      <w:u w:val="single"/>
    </w:rPr>
  </w:style>
  <w:style w:type="paragraph" w:customStyle="1" w:styleId="s16">
    <w:name w:val="s_16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3871"/>
  </w:style>
  <w:style w:type="paragraph" w:customStyle="1" w:styleId="s22">
    <w:name w:val="s_22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A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2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48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881">
              <w:marLeft w:val="0"/>
              <w:marRight w:val="0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169">
              <w:marLeft w:val="0"/>
              <w:marRight w:val="0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333">
                  <w:marLeft w:val="0"/>
                  <w:marRight w:val="0"/>
                  <w:marTop w:val="154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288">
                  <w:marLeft w:val="0"/>
                  <w:marRight w:val="0"/>
                  <w:marTop w:val="154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659">
                  <w:marLeft w:val="0"/>
                  <w:marRight w:val="0"/>
                  <w:marTop w:val="154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35">
              <w:marLeft w:val="0"/>
              <w:marRight w:val="0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3000</Words>
  <Characters>17101</Characters>
  <Application>Microsoft Office Word</Application>
  <DocSecurity>0</DocSecurity>
  <Lines>142</Lines>
  <Paragraphs>40</Paragraphs>
  <ScaleCrop>false</ScaleCrop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User</cp:lastModifiedBy>
  <cp:revision>2</cp:revision>
  <dcterms:created xsi:type="dcterms:W3CDTF">2022-08-23T06:31:00Z</dcterms:created>
  <dcterms:modified xsi:type="dcterms:W3CDTF">2022-08-23T06:31:00Z</dcterms:modified>
</cp:coreProperties>
</file>